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80093" w:rsidP="000E4DF5">
      <w:pPr>
        <w:spacing w:after="0" w:line="238" w:lineRule="auto"/>
        <w:ind w:left="2835" w:right="1339"/>
      </w:pPr>
      <w:r>
        <w:rPr>
          <w:rFonts w:ascii="Times New Roman" w:eastAsia="Times New Roman" w:hAnsi="Times New Roman" w:cs="Times New Roman"/>
          <w:sz w:val="20"/>
        </w:rPr>
        <w:t>Załącznik Nr  3  do zalecenia Śląskiego Kuratora Oświaty  nr  OA-OR.110.3.8.2022  z dnia 8 czerwca 2022 r.</w:t>
      </w:r>
    </w:p>
    <w:p w:rsidR="00680093" w:rsidP="000E4DF5">
      <w:pPr>
        <w:spacing w:after="472" w:line="265" w:lineRule="auto"/>
        <w:ind w:left="2835" w:right="360" w:hanging="10"/>
        <w:jc w:val="right"/>
      </w:pPr>
      <w:r>
        <w:rPr>
          <w:rFonts w:ascii="Times New Roman" w:eastAsia="Times New Roman" w:hAnsi="Times New Roman" w:cs="Times New Roman"/>
          <w:sz w:val="20"/>
        </w:rPr>
        <w:t>w sprawie zasad obiegu informacji w Kuratorium Oświaty w Katowicach</w:t>
      </w:r>
    </w:p>
    <w:p w:rsidR="00680093">
      <w:pPr>
        <w:spacing w:after="76"/>
        <w:ind w:right="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KURATORIUM OŚWIATY W KATOWICACH </w:t>
      </w:r>
    </w:p>
    <w:p w:rsidR="00680093">
      <w:pPr>
        <w:spacing w:after="0" w:line="357" w:lineRule="auto"/>
        <w:ind w:left="1632" w:right="172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ul.  Powstańców 41a, 40 – 024 Katowice  </w:t>
      </w:r>
      <w:r>
        <w:fldChar w:fldCharType="begin"/>
      </w:r>
      <w:r>
        <w:instrText xml:space="preserve"> HYPERLINK "https://kuratorium.katowice.pl/"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https://kuratorium.katowice.pl</w:t>
      </w:r>
      <w:r>
        <w:fldChar w:fldCharType="end"/>
      </w:r>
    </w:p>
    <w:p w:rsidR="00680093" w:rsidRPr="000659D1">
      <w:pPr>
        <w:spacing w:after="95"/>
        <w:ind w:left="1632" w:right="1640" w:hanging="10"/>
        <w:jc w:val="center"/>
        <w:rPr>
          <w:lang w:val="en-US"/>
        </w:rPr>
      </w:pPr>
      <w:r>
        <w:fldChar w:fldCharType="begin"/>
      </w:r>
      <w:r>
        <w:instrText xml:space="preserve"> HYPERLINK "https://bip.kuratorium.katowice.pl/" </w:instrText>
      </w:r>
      <w:r>
        <w:fldChar w:fldCharType="separate"/>
      </w:r>
      <w:r w:rsidRPr="000659D1" w:rsidR="00630D71">
        <w:rPr>
          <w:rFonts w:ascii="Times New Roman" w:eastAsia="Times New Roman" w:hAnsi="Times New Roman" w:cs="Times New Roman"/>
          <w:color w:val="0000FF"/>
          <w:sz w:val="20"/>
          <w:u w:val="single" w:color="0000FF"/>
          <w:lang w:val="en-US"/>
        </w:rPr>
        <w:t>https://bip.kuratorium.katowice.pl</w:t>
      </w:r>
      <w:r>
        <w:fldChar w:fldCharType="end"/>
      </w:r>
      <w:r w:rsidRPr="000659D1" w:rsidR="00630D7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680093" w:rsidRPr="000659D1">
      <w:pPr>
        <w:spacing w:after="0"/>
        <w:ind w:left="1632" w:right="1642" w:hanging="10"/>
        <w:jc w:val="center"/>
        <w:rPr>
          <w:lang w:val="en-US"/>
        </w:rPr>
      </w:pPr>
      <w:r w:rsidRPr="000659D1">
        <w:rPr>
          <w:rFonts w:ascii="Times New Roman" w:eastAsia="Times New Roman" w:hAnsi="Times New Roman" w:cs="Times New Roman"/>
          <w:sz w:val="20"/>
          <w:lang w:val="en-US"/>
        </w:rPr>
        <w:t xml:space="preserve">email: </w:t>
      </w:r>
      <w:r w:rsidRPr="000659D1">
        <w:rPr>
          <w:rFonts w:ascii="Times New Roman" w:eastAsia="Times New Roman" w:hAnsi="Times New Roman" w:cs="Times New Roman"/>
          <w:color w:val="0000FF"/>
          <w:sz w:val="20"/>
          <w:u w:val="single" w:color="0000FF"/>
          <w:lang w:val="en-US"/>
        </w:rPr>
        <w:t>kancelaria@kuratorium.katowice.pl</w:t>
      </w:r>
    </w:p>
    <w:p w:rsidR="00680093">
      <w:pPr>
        <w:spacing w:after="137"/>
        <w:ind w:left="2039"/>
      </w:pPr>
      <w:r>
        <w:rPr>
          <w:noProof/>
        </w:rPr>
        <mc:AlternateContent>
          <mc:Choice Requires="wpg">
            <w:drawing>
              <wp:inline distT="0" distB="0" distL="0" distR="0">
                <wp:extent cx="3314700" cy="9360"/>
                <wp:effectExtent l="0" t="0" r="0" b="0"/>
                <wp:docPr id="3258" name="Group 32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14700" cy="9360"/>
                          <a:chOff x="0" y="0"/>
                          <a:chExt cx="3314700" cy="9360"/>
                        </a:xfrm>
                      </wpg:grpSpPr>
                      <wps:wsp xmlns:wps="http://schemas.microsoft.com/office/word/2010/wordprocessingShape">
                        <wps:cNvPr id="176" name="Shape 176"/>
                        <wps:cNvSpPr/>
                        <wps:spPr>
                          <a:xfrm>
                            <a:off x="0" y="0"/>
                            <a:ext cx="33147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3314700" stroke="1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ln w="936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height:0.74pt;mso-position-horizontal-relative:char;mso-position-vertical-relative:line;width:261pt" coordsize="33147,93">
                <v:shape id="_x0000_s1026" style="height:0;position:absolute;width:33147" coordsize="3314700,21600" path="m,l3314700,e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680093">
      <w:pPr>
        <w:spacing w:after="283"/>
        <w:ind w:right="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KARTA INFORMACYJNA Nr 61</w:t>
      </w:r>
      <w:r w:rsidR="0094089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80093" w:rsidRPr="000659D1" w:rsidP="00DD609C">
      <w:pPr>
        <w:spacing w:after="838" w:line="249" w:lineRule="auto"/>
        <w:ind w:left="1701" w:right="1" w:hanging="1701"/>
        <w:jc w:val="both"/>
        <w:rPr>
          <w:sz w:val="24"/>
          <w:szCs w:val="24"/>
        </w:rPr>
      </w:pPr>
      <w:r w:rsidRPr="000659D1">
        <w:rPr>
          <w:rFonts w:ascii="Times New Roman" w:eastAsia="Times New Roman" w:hAnsi="Times New Roman" w:cs="Times New Roman"/>
          <w:sz w:val="24"/>
          <w:szCs w:val="24"/>
        </w:rPr>
        <w:t>Rodzaj sprawy:</w:t>
      </w:r>
      <w:r w:rsidRPr="000659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59D1">
        <w:rPr>
          <w:rFonts w:ascii="Times New Roman" w:eastAsia="Times New Roman" w:hAnsi="Times New Roman" w:cs="Times New Roman"/>
          <w:sz w:val="24"/>
          <w:szCs w:val="24"/>
        </w:rPr>
        <w:t>zgłaszanie zawodów wiedzy, artystycznych i sportowych, które mogą być wymienione na świadectwie ukończenia szkoły podstawowej oraz</w:t>
      </w:r>
      <w:r w:rsidRPr="000659D1" w:rsidR="000659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59D1">
        <w:rPr>
          <w:rFonts w:ascii="Times New Roman" w:eastAsia="Times New Roman" w:hAnsi="Times New Roman" w:cs="Times New Roman"/>
          <w:sz w:val="24"/>
          <w:szCs w:val="24"/>
        </w:rPr>
        <w:t>uwzględniane w postępowaniu rekrutacyjnym</w:t>
      </w:r>
    </w:p>
    <w:p w:rsidR="00680093">
      <w:pPr>
        <w:numPr>
          <w:ilvl w:val="0"/>
          <w:numId w:val="1"/>
        </w:numPr>
        <w:spacing w:before="305" w:after="120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Podstawa prawna.</w:t>
      </w:r>
    </w:p>
    <w:p w:rsidR="00680093">
      <w:pPr>
        <w:spacing w:after="0" w:line="239" w:lineRule="auto"/>
        <w:ind w:left="720" w:right="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3901154</wp:posOffset>
                </wp:positionV>
                <wp:extent cx="7560310" cy="9360"/>
                <wp:effectExtent l="0" t="0" r="0" b="0"/>
                <wp:wrapTopAndBottom/>
                <wp:docPr id="3259" name="Group 32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60310" cy="9360"/>
                          <a:chOff x="0" y="0"/>
                          <a:chExt cx="7560310" cy="9360"/>
                        </a:xfrm>
                      </wpg:grpSpPr>
                      <wps:wsp xmlns:wps="http://schemas.microsoft.com/office/word/2010/wordprocessingShape">
                        <wps:cNvPr id="177" name="Shape 177"/>
                        <wps:cNvSpPr/>
                        <wps:spPr>
                          <a:xfrm>
                            <a:off x="0" y="0"/>
                            <a:ext cx="756031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7560310" stroke="1">
                                <a:moveTo>
                                  <a:pt x="75603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6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height:0.74pt;margin-left:0;margin-top:307.18pt;mso-position-horizontal-relative:page;mso-position-vertical-relative:page;position:absolute;width:595.3pt;z-index:251658240" coordsize="75603,93">
                <v:shape id="_x0000_s1028" style="height:0;position:absolute;width:75603" coordsize="7560310,21600" path="m7560310,l,e" filled="f" fillcolor="black" stroked="t" strokecolor="black">
                  <v:fill opacity="0"/>
                  <v:stroke joinstyle="miter" endcap="flat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art. 148 ustawy z dnia 14 grudnia 2016 r. Prawo oświatowe (Dz.U. z 202</w:t>
      </w:r>
      <w:r w:rsidR="000E4DF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0E4DF5">
        <w:rPr>
          <w:rFonts w:ascii="Times New Roman" w:eastAsia="Times New Roman" w:hAnsi="Times New Roman" w:cs="Times New Roman"/>
          <w:sz w:val="24"/>
        </w:rPr>
        <w:t>737</w:t>
      </w:r>
      <w:r>
        <w:rPr>
          <w:rFonts w:ascii="Times New Roman" w:eastAsia="Times New Roman" w:hAnsi="Times New Roman" w:cs="Times New Roman"/>
          <w:sz w:val="24"/>
        </w:rPr>
        <w:t xml:space="preserve"> ze zm.): </w:t>
      </w:r>
      <w:r>
        <w:rPr>
          <w:rFonts w:ascii="Times New Roman" w:eastAsia="Times New Roman" w:hAnsi="Times New Roman" w:cs="Times New Roman"/>
          <w:i/>
          <w:sz w:val="24"/>
        </w:rPr>
        <w:t xml:space="preserve">Kurator oświaty corocznie do końca lutego podaje do publicznej wiadomości wykaz zawodów wiedzy, artystycznych i sportowych,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organizowanych przez kuratora oświaty lub inne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podmioty działające na terenie szkoły</w:t>
      </w:r>
      <w:r>
        <w:rPr>
          <w:rFonts w:ascii="Times New Roman" w:eastAsia="Times New Roman" w:hAnsi="Times New Roman" w:cs="Times New Roman"/>
          <w:i/>
          <w:sz w:val="24"/>
        </w:rPr>
        <w:t>, które mogą być wymienione na</w:t>
      </w:r>
      <w:r w:rsidR="000659D1">
        <w:rPr>
          <w:rFonts w:ascii="Times New Roman" w:eastAsia="Times New Roman" w:hAnsi="Times New Roman" w:cs="Times New Roman"/>
          <w:i/>
          <w:sz w:val="24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>świadectwie ukończenia szkoły podstawowej, o którym mowa w art. 134 ust. 2 pkt 4 lit. a, art. 137 ust. 6 pkt 4 lit. a, art. 140 ust. 3 pkt 5 lit. a i art. 143 ust. 3 pkt 4 lit. a, oraz określa miejsca uznane za wysokie w tych zawodach.</w:t>
      </w:r>
    </w:p>
    <w:p w:rsidR="000659D1" w:rsidP="000659D1">
      <w:pPr>
        <w:spacing w:after="0" w:line="249" w:lineRule="auto"/>
        <w:ind w:left="715" w:right="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134 ust. 2 pkt 4 lit. a - dot. świadectwa ukończenia szkoły podstawowej w rekrutacji do szkół ponadpodstawowych </w:t>
      </w:r>
    </w:p>
    <w:p w:rsidR="000659D1" w:rsidP="000659D1">
      <w:pPr>
        <w:spacing w:after="0" w:line="249" w:lineRule="auto"/>
        <w:ind w:left="715" w:right="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137 ust. 6 pkt 4 lit. a - dot. świadectwa ukończenia szkoły podstawowej w rekrutacji do oddziałów i szkół sportowych </w:t>
      </w:r>
    </w:p>
    <w:p w:rsidR="000659D1" w:rsidP="000659D1">
      <w:pPr>
        <w:spacing w:after="0" w:line="249" w:lineRule="auto"/>
        <w:ind w:left="715" w:right="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140 ust. 3 pkt 5 lit. a - dot. świadectwa ukończenia szkoły podstawowej w rekrutacji do oddziałów i szkół dwujęzycznych </w:t>
      </w:r>
    </w:p>
    <w:p w:rsidR="00680093" w:rsidP="000659D1">
      <w:pPr>
        <w:spacing w:after="120" w:line="249" w:lineRule="auto"/>
        <w:ind w:left="71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>art. 143 ust. 3 pkt 4 lit. a - dot. świadectwa ukończenia szkoły podstawowej w rekrutacji do szkół prowadzonych przez Ministra Obrony Narodowej.</w:t>
      </w:r>
    </w:p>
    <w:p w:rsidR="00680093" w:rsidRPr="00DD609C" w:rsidP="000659D1">
      <w:pPr>
        <w:spacing w:after="309" w:line="23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Rozporządzenie Ministra Edukacji i Nauki z dnia 18 listopada 2022 r. w sprawie przeprowadzania postępowania rekrutacyjnego oraz postępowania uzupełniającego do</w:t>
      </w:r>
      <w:r w:rsidR="00974D80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publicznych przedszkoli, szkół, placówek i </w:t>
      </w:r>
      <w:r w:rsidRPr="00DD609C">
        <w:rPr>
          <w:rFonts w:ascii="Times New Roman" w:eastAsia="Times New Roman" w:hAnsi="Times New Roman" w:cs="Times New Roman"/>
          <w:sz w:val="24"/>
          <w:szCs w:val="24"/>
        </w:rPr>
        <w:t>centrów (Dz. U. z</w:t>
      </w:r>
      <w:r w:rsidRPr="00DD609C" w:rsidR="00065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09C" w:rsidR="00DD609C">
        <w:rPr>
          <w:rFonts w:ascii="Times New Roman" w:hAnsi="Times New Roman" w:cs="Times New Roman"/>
          <w:sz w:val="24"/>
          <w:szCs w:val="24"/>
        </w:rPr>
        <w:t>202</w:t>
      </w:r>
      <w:r w:rsidR="000E4DF5">
        <w:rPr>
          <w:rFonts w:ascii="Times New Roman" w:hAnsi="Times New Roman" w:cs="Times New Roman"/>
          <w:sz w:val="24"/>
          <w:szCs w:val="24"/>
        </w:rPr>
        <w:t>4</w:t>
      </w:r>
      <w:r w:rsidRPr="00DD609C" w:rsidR="00DD609C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4DF5">
        <w:rPr>
          <w:rFonts w:ascii="Times New Roman" w:hAnsi="Times New Roman" w:cs="Times New Roman"/>
          <w:sz w:val="24"/>
          <w:szCs w:val="24"/>
        </w:rPr>
        <w:t>989</w:t>
      </w:r>
      <w:r w:rsidRPr="00DD609C" w:rsidR="00DD609C">
        <w:rPr>
          <w:rFonts w:ascii="Times New Roman" w:hAnsi="Times New Roman" w:cs="Times New Roman"/>
          <w:sz w:val="24"/>
          <w:szCs w:val="24"/>
        </w:rPr>
        <w:t xml:space="preserve">) </w:t>
      </w:r>
      <w:r w:rsidRPr="00DD6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093">
      <w:pPr>
        <w:numPr>
          <w:ilvl w:val="0"/>
          <w:numId w:val="1"/>
        </w:numPr>
        <w:spacing w:after="120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Wymagane dokumenty.</w:t>
      </w:r>
    </w:p>
    <w:p w:rsidR="00680093">
      <w:pPr>
        <w:spacing w:after="31" w:line="357" w:lineRule="auto"/>
        <w:ind w:left="71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>Wypełniony formularz przekazany przez dyrektora szkoły na platformie wymiany informacji z dyrektorami szkół (SOK - Załącznik nr 2).</w:t>
      </w:r>
    </w:p>
    <w:p w:rsidR="00680093">
      <w:pPr>
        <w:numPr>
          <w:ilvl w:val="0"/>
          <w:numId w:val="1"/>
        </w:numPr>
        <w:spacing w:after="120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Opłata.</w:t>
      </w:r>
    </w:p>
    <w:p w:rsidR="00680093">
      <w:pPr>
        <w:spacing w:after="285"/>
        <w:ind w:left="703" w:hanging="10"/>
      </w:pPr>
      <w:r>
        <w:rPr>
          <w:rFonts w:ascii="Times New Roman" w:eastAsia="Times New Roman" w:hAnsi="Times New Roman" w:cs="Times New Roman"/>
          <w:sz w:val="24"/>
        </w:rPr>
        <w:t>Brak opłat</w:t>
      </w:r>
    </w:p>
    <w:p w:rsidR="00680093">
      <w:pPr>
        <w:numPr>
          <w:ilvl w:val="0"/>
          <w:numId w:val="1"/>
        </w:numPr>
        <w:spacing w:after="120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Miejsce/sposób złożenia dokumentów.</w:t>
      </w:r>
    </w:p>
    <w:p w:rsidR="00680093">
      <w:pPr>
        <w:tabs>
          <w:tab w:val="center" w:pos="450"/>
          <w:tab w:val="center" w:pos="3562"/>
        </w:tabs>
        <w:spacing w:after="543" w:line="249" w:lineRule="auto"/>
      </w:pPr>
      <w:r>
        <w:tab/>
      </w:r>
      <w:r w:rsidR="00124558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Platforma wymiany informacji z dyrektorami szkół (SOK).</w:t>
      </w:r>
    </w:p>
    <w:p w:rsidR="00680093">
      <w:pPr>
        <w:numPr>
          <w:ilvl w:val="0"/>
          <w:numId w:val="1"/>
        </w:numPr>
        <w:spacing w:after="258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Komórka odpowiedzialna za udzielanie informacji w przedmiotowej sprawie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0093" w:rsidRPr="00DD609C">
      <w:pPr>
        <w:spacing w:after="0"/>
        <w:ind w:left="703" w:hanging="10"/>
        <w:rPr>
          <w:rFonts w:ascii="Times New Roman" w:hAnsi="Times New Roman" w:cs="Times New Roman"/>
          <w:sz w:val="24"/>
          <w:szCs w:val="24"/>
        </w:rPr>
      </w:pPr>
      <w:r w:rsidRPr="00DD609C">
        <w:rPr>
          <w:rFonts w:ascii="Times New Roman" w:eastAsia="Times New Roman" w:hAnsi="Times New Roman" w:cs="Times New Roman"/>
          <w:sz w:val="24"/>
          <w:szCs w:val="24"/>
        </w:rPr>
        <w:t xml:space="preserve">Wydział </w:t>
      </w:r>
      <w:r w:rsidR="000E4DF5">
        <w:rPr>
          <w:rFonts w:ascii="Times New Roman" w:eastAsia="Times New Roman" w:hAnsi="Times New Roman" w:cs="Times New Roman"/>
          <w:sz w:val="24"/>
          <w:szCs w:val="24"/>
        </w:rPr>
        <w:t>Rozwoju</w:t>
      </w:r>
      <w:r w:rsidRPr="00DD609C" w:rsidR="00DD609C">
        <w:rPr>
          <w:rFonts w:ascii="Times New Roman" w:eastAsia="Times New Roman" w:hAnsi="Times New Roman" w:cs="Times New Roman"/>
          <w:sz w:val="24"/>
          <w:szCs w:val="24"/>
        </w:rPr>
        <w:t xml:space="preserve"> Edukacji</w:t>
      </w:r>
    </w:p>
    <w:p w:rsidR="00680093" w:rsidRPr="00DD609C">
      <w:pPr>
        <w:spacing w:after="295" w:line="249" w:lineRule="auto"/>
        <w:ind w:left="715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DD609C">
        <w:rPr>
          <w:rFonts w:ascii="Times New Roman" w:eastAsia="Times New Roman" w:hAnsi="Times New Roman" w:cs="Times New Roman"/>
          <w:sz w:val="24"/>
          <w:szCs w:val="24"/>
        </w:rPr>
        <w:t xml:space="preserve">Oddział </w:t>
      </w:r>
      <w:r w:rsidR="000E4DF5">
        <w:rPr>
          <w:rFonts w:ascii="Times New Roman" w:eastAsia="Times New Roman" w:hAnsi="Times New Roman" w:cs="Times New Roman"/>
          <w:sz w:val="24"/>
          <w:szCs w:val="24"/>
        </w:rPr>
        <w:t xml:space="preserve">Wychowania i </w:t>
      </w:r>
      <w:r w:rsidRPr="00DD609C" w:rsidR="00DD609C">
        <w:rPr>
          <w:rFonts w:ascii="Times New Roman" w:hAnsi="Times New Roman" w:cs="Times New Roman"/>
          <w:sz w:val="24"/>
          <w:szCs w:val="24"/>
        </w:rPr>
        <w:t>Kształcenia, p. 5.0</w:t>
      </w:r>
      <w:r w:rsidR="000E4DF5">
        <w:rPr>
          <w:rFonts w:ascii="Times New Roman" w:hAnsi="Times New Roman" w:cs="Times New Roman"/>
          <w:sz w:val="24"/>
          <w:szCs w:val="24"/>
        </w:rPr>
        <w:t>9</w:t>
      </w:r>
      <w:r w:rsidRPr="00DD609C" w:rsidR="00DD609C">
        <w:rPr>
          <w:rFonts w:ascii="Times New Roman" w:hAnsi="Times New Roman" w:cs="Times New Roman"/>
          <w:sz w:val="24"/>
          <w:szCs w:val="24"/>
        </w:rPr>
        <w:t>, tel.</w:t>
      </w:r>
      <w:r w:rsidR="000E4DF5">
        <w:rPr>
          <w:rFonts w:ascii="Times New Roman" w:hAnsi="Times New Roman" w:cs="Times New Roman"/>
          <w:sz w:val="24"/>
          <w:szCs w:val="24"/>
        </w:rPr>
        <w:t xml:space="preserve"> </w:t>
      </w:r>
      <w:r w:rsidRPr="00DD609C" w:rsidR="00DD609C">
        <w:rPr>
          <w:rFonts w:ascii="Times New Roman" w:hAnsi="Times New Roman" w:cs="Times New Roman"/>
          <w:sz w:val="24"/>
          <w:szCs w:val="24"/>
        </w:rPr>
        <w:t>32-606-30-</w:t>
      </w:r>
      <w:r w:rsidR="000E4DF5">
        <w:rPr>
          <w:rFonts w:ascii="Times New Roman" w:hAnsi="Times New Roman" w:cs="Times New Roman"/>
          <w:sz w:val="24"/>
          <w:szCs w:val="24"/>
        </w:rPr>
        <w:t>21</w:t>
      </w:r>
    </w:p>
    <w:p w:rsidR="00680093">
      <w:pPr>
        <w:numPr>
          <w:ilvl w:val="0"/>
          <w:numId w:val="1"/>
        </w:numPr>
        <w:spacing w:after="149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Termin i sposób załatwienia.</w:t>
      </w:r>
    </w:p>
    <w:p w:rsidR="00680093" w:rsidP="00DD609C">
      <w:pPr>
        <w:numPr>
          <w:ilvl w:val="1"/>
          <w:numId w:val="2"/>
        </w:numPr>
        <w:spacing w:after="31" w:line="359" w:lineRule="auto"/>
        <w:ind w:left="1134" w:right="1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Zgłoszenie propozycji zawodów przez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dyrektora szkoły</w:t>
      </w:r>
      <w:r>
        <w:rPr>
          <w:rFonts w:ascii="Times New Roman" w:eastAsia="Times New Roman" w:hAnsi="Times New Roman" w:cs="Times New Roman"/>
          <w:sz w:val="24"/>
        </w:rPr>
        <w:t xml:space="preserve">, poprzez formularz zamieszczony na platformie wymiany informacji z dyrektorami szkół (SOK)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</w:t>
      </w:r>
      <w:r w:rsidR="00124558">
        <w:rPr>
          <w:rFonts w:ascii="Times New Roman" w:eastAsia="Times New Roman" w:hAnsi="Times New Roman" w:cs="Times New Roman"/>
          <w:b/>
          <w:sz w:val="24"/>
          <w:u w:val="single" w:color="000000"/>
        </w:rPr>
        <w:t> </w:t>
      </w:r>
      <w:r w:rsidR="00241459">
        <w:rPr>
          <w:rFonts w:ascii="Times New Roman" w:eastAsia="Times New Roman" w:hAnsi="Times New Roman" w:cs="Times New Roman"/>
          <w:b/>
          <w:sz w:val="24"/>
          <w:u w:val="single" w:color="000000"/>
        </w:rPr>
        <w:t>20</w:t>
      </w:r>
      <w:bookmarkStart w:id="0" w:name="_GoBack"/>
      <w:bookmarkEnd w:id="0"/>
      <w:r w:rsidR="00124558">
        <w:rPr>
          <w:rFonts w:ascii="Times New Roman" w:eastAsia="Times New Roman" w:hAnsi="Times New Roman" w:cs="Times New Roman"/>
          <w:b/>
          <w:sz w:val="24"/>
          <w:u w:val="single" w:color="000000"/>
        </w:rPr>
        <w:t> s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tycznia danego roku szkolnego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(Załącznik nr 2 - wzór formularza), po</w:t>
      </w:r>
      <w:r w:rsidR="0012455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zapoznaniu się z Zasadami zgłaszania i kryteriami kwalifikowania zawodów do</w:t>
      </w:r>
      <w:r w:rsidR="0012455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wykazu zawodów wiedzy, artystycznych i sportowych, które mogą być wymienione na świadectwie ukończenia szkoły podstawowej oraz uwzględniane w</w:t>
      </w:r>
      <w:r w:rsidR="0012455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postępowaniu rekrutacyjnym (Załącznik nr 1).</w:t>
      </w:r>
    </w:p>
    <w:p w:rsidR="00680093" w:rsidP="00124558">
      <w:pPr>
        <w:numPr>
          <w:ilvl w:val="1"/>
          <w:numId w:val="2"/>
        </w:numPr>
        <w:spacing w:after="120" w:line="359" w:lineRule="auto"/>
        <w:ind w:left="1134" w:right="1" w:hanging="283"/>
        <w:jc w:val="both"/>
      </w:pPr>
      <w:r>
        <w:rPr>
          <w:rFonts w:ascii="Times New Roman" w:eastAsia="Times New Roman" w:hAnsi="Times New Roman" w:cs="Times New Roman"/>
          <w:sz w:val="24"/>
        </w:rPr>
        <w:t>Zgłoszenia spełniające kryteria i zasady, na podstawie decyzji Śląskiego Kuratora Oświaty zostaną zamieszczone w wykazie zawodów wiedzy, artystycznych i</w:t>
      </w:r>
      <w:r w:rsidR="0012455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sportowych,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organizowanych przez inne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podmioty działające na terenie szkoły, które mogą być wymienione na świadectwie ukończenia szkoły podstawowej i</w:t>
      </w:r>
      <w:r w:rsidR="0012455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podane do publicznej wiadomości na stronie internetowej Kuratorium Oświaty w</w:t>
      </w:r>
      <w:r w:rsidR="0012455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Katowicach </w:t>
      </w:r>
      <w:r>
        <w:rPr>
          <w:rFonts w:ascii="Times New Roman" w:eastAsia="Times New Roman" w:hAnsi="Times New Roman" w:cs="Times New Roman"/>
          <w:b/>
          <w:sz w:val="24"/>
        </w:rPr>
        <w:t>do końca lutego danego roku szkolnego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80093">
      <w:pPr>
        <w:numPr>
          <w:ilvl w:val="0"/>
          <w:numId w:val="1"/>
        </w:numPr>
        <w:spacing w:after="120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Sposób przekazania informacji o załatwieniu sprawy.</w:t>
      </w:r>
    </w:p>
    <w:p w:rsidR="00680093">
      <w:pPr>
        <w:spacing w:after="157" w:line="249" w:lineRule="auto"/>
        <w:ind w:left="71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0D71">
        <w:rPr>
          <w:rFonts w:ascii="Times New Roman" w:eastAsia="Times New Roman" w:hAnsi="Times New Roman" w:cs="Times New Roman"/>
          <w:sz w:val="24"/>
        </w:rPr>
        <w:t>Brak informacji.</w:t>
      </w:r>
    </w:p>
    <w:p w:rsidR="00680093">
      <w:pPr>
        <w:numPr>
          <w:ilvl w:val="0"/>
          <w:numId w:val="1"/>
        </w:numPr>
        <w:spacing w:after="120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Tryb odwoławczy.</w:t>
      </w:r>
    </w:p>
    <w:p w:rsidR="00680093" w:rsidP="00124558">
      <w:pPr>
        <w:spacing w:after="120" w:line="249" w:lineRule="auto"/>
        <w:ind w:left="71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>Nie przewidziano.</w:t>
      </w:r>
    </w:p>
    <w:p w:rsidR="00680093" w:rsidP="00124558">
      <w:pPr>
        <w:numPr>
          <w:ilvl w:val="0"/>
          <w:numId w:val="1"/>
        </w:numPr>
        <w:spacing w:after="360"/>
        <w:ind w:hanging="780"/>
      </w:pPr>
      <w:r>
        <w:rPr>
          <w:rFonts w:ascii="Times New Roman" w:eastAsia="Times New Roman" w:hAnsi="Times New Roman" w:cs="Times New Roman"/>
          <w:b/>
          <w:sz w:val="24"/>
        </w:rPr>
        <w:t>Inne informacje.</w:t>
      </w:r>
    </w:p>
    <w:p w:rsidR="00680093" w:rsidP="00124558">
      <w:pPr>
        <w:spacing w:after="1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1 </w:t>
      </w:r>
    </w:p>
    <w:p w:rsidR="00680093" w:rsidRPr="00124558" w:rsidP="00124558">
      <w:pPr>
        <w:spacing w:after="240" w:line="267" w:lineRule="auto"/>
        <w:ind w:left="-5" w:hanging="10"/>
        <w:jc w:val="both"/>
        <w:rPr>
          <w:sz w:val="24"/>
          <w:szCs w:val="24"/>
        </w:rPr>
      </w:pPr>
      <w:r w:rsidRPr="00124558">
        <w:rPr>
          <w:rFonts w:ascii="Times New Roman" w:eastAsia="Times New Roman" w:hAnsi="Times New Roman" w:cs="Times New Roman"/>
          <w:b/>
          <w:sz w:val="24"/>
          <w:szCs w:val="24"/>
        </w:rPr>
        <w:t>Zasady zgłaszania i kryteria kwalifikowania zawodów do wykazu zawodów wiedzy, artystycznych i sportowych, które mogą być wymienione na świadectwie ukończenia szkoły podstawowej oraz uwzględniane w postępowaniu rekrutacyjnym</w:t>
      </w:r>
      <w:r w:rsidR="001245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80093" w:rsidP="00124558">
      <w:pPr>
        <w:spacing w:after="1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Załącznik 2</w:t>
      </w:r>
    </w:p>
    <w:p w:rsidR="00680093" w:rsidRPr="00124558" w:rsidP="00124558">
      <w:pPr>
        <w:spacing w:after="241" w:line="267" w:lineRule="auto"/>
        <w:ind w:left="-5" w:hanging="10"/>
        <w:jc w:val="both"/>
        <w:rPr>
          <w:sz w:val="24"/>
          <w:szCs w:val="24"/>
        </w:rPr>
      </w:pPr>
      <w:r w:rsidRPr="00124558">
        <w:rPr>
          <w:rFonts w:ascii="Times New Roman" w:eastAsia="Times New Roman" w:hAnsi="Times New Roman" w:cs="Times New Roman"/>
          <w:b/>
          <w:sz w:val="24"/>
          <w:szCs w:val="24"/>
        </w:rPr>
        <w:t>Formularz zgłaszania zawodów za pomocą platformy wymiany informacji z dyrektorami szkół (SOK).</w:t>
      </w:r>
    </w:p>
    <w:p w:rsidR="00680093" w:rsidRPr="00124558">
      <w:pPr>
        <w:spacing w:after="17"/>
        <w:ind w:right="17"/>
        <w:jc w:val="right"/>
        <w:rPr>
          <w:rFonts w:ascii="Times New Roman" w:hAnsi="Times New Roman" w:cs="Times New Roman"/>
          <w:i/>
        </w:rPr>
      </w:pPr>
      <w:r w:rsidRPr="00124558">
        <w:rPr>
          <w:rFonts w:ascii="Times New Roman" w:eastAsia="Times New Roman" w:hAnsi="Times New Roman" w:cs="Times New Roman"/>
          <w:i/>
          <w:sz w:val="24"/>
        </w:rPr>
        <w:t>Zatwierdził:</w:t>
      </w:r>
    </w:p>
    <w:p w:rsidR="00680093" w:rsidRPr="00124558">
      <w:pPr>
        <w:spacing w:after="17"/>
        <w:ind w:left="10" w:right="2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" w:name="ezdPracownikStanowisko"/>
      <w:r w:rsidRPr="00124558">
        <w:rPr>
          <w:rFonts w:ascii="Times New Roman" w:hAnsi="Times New Roman" w:cs="Times New Roman"/>
          <w:i/>
          <w:sz w:val="24"/>
          <w:szCs w:val="24"/>
        </w:rPr>
        <w:t>Wicekurator Oświaty</w:t>
      </w:r>
      <w:bookmarkEnd w:id="1"/>
    </w:p>
    <w:p w:rsidR="00680093" w:rsidRPr="00124558">
      <w:pPr>
        <w:spacing w:after="17"/>
        <w:ind w:left="10" w:right="2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2" w:name="ezdPracownikNazwa"/>
      <w:r w:rsidRPr="00124558">
        <w:rPr>
          <w:rFonts w:ascii="Times New Roman" w:hAnsi="Times New Roman" w:cs="Times New Roman"/>
          <w:i/>
          <w:sz w:val="24"/>
          <w:szCs w:val="24"/>
        </w:rPr>
        <w:t>Tomasz Huk</w:t>
      </w:r>
      <w:bookmarkEnd w:id="2"/>
    </w:p>
    <w:p w:rsidR="00680093" w:rsidRPr="00124558">
      <w:pPr>
        <w:spacing w:after="459"/>
        <w:rPr>
          <w:rFonts w:ascii="Times New Roman" w:hAnsi="Times New Roman" w:cs="Times New Roman"/>
        </w:rPr>
      </w:pPr>
      <w:r w:rsidRPr="00124558">
        <w:rPr>
          <w:rFonts w:ascii="Times New Roman" w:eastAsia="Times New Roman" w:hAnsi="Times New Roman" w:cs="Times New Roman"/>
          <w:sz w:val="24"/>
        </w:rPr>
        <w:t xml:space="preserve">   </w:t>
      </w:r>
    </w:p>
    <w:p w:rsidR="00680093" w:rsidP="00124558">
      <w:pPr>
        <w:spacing w:after="0"/>
        <w:ind w:right="15"/>
        <w:jc w:val="center"/>
      </w:pPr>
      <w:r>
        <w:rPr>
          <w:rFonts w:ascii="Times New Roman" w:eastAsia="Times New Roman" w:hAnsi="Times New Roman" w:cs="Times New Roman"/>
          <w:sz w:val="20"/>
        </w:rPr>
        <w:t>2</w:t>
      </w:r>
    </w:p>
    <w:sectPr>
      <w:pgSz w:w="11906" w:h="16838"/>
      <w:pgMar w:top="1182" w:right="1403" w:bottom="93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22334"/>
    <w:multiLevelType w:val="hybridMultilevel"/>
    <w:tmpl w:val="92EAC1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8A082A"/>
    <w:multiLevelType w:val="hybridMultilevel"/>
    <w:tmpl w:val="B75E3098"/>
    <w:lvl w:ilvl="0">
      <w:start w:val="1"/>
      <w:numFmt w:val="upperRoman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659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0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DD6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DD609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DD60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DD609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D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D609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9EA3-0B9B-480D-8DD2-7796B629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ko</dc:creator>
  <cp:lastModifiedBy>Małgorzata Kasztura</cp:lastModifiedBy>
  <cp:revision>4</cp:revision>
  <dcterms:created xsi:type="dcterms:W3CDTF">2024-10-29T06:47:00Z</dcterms:created>
  <dcterms:modified xsi:type="dcterms:W3CDTF">2024-11-05T06:30:00Z</dcterms:modified>
</cp:coreProperties>
</file>